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EE" w:rsidRPr="009F13DF" w:rsidRDefault="00615D1B" w:rsidP="00937249">
      <w:pPr>
        <w:pStyle w:val="Heading2"/>
      </w:pPr>
      <w:r w:rsidRPr="009F13DF">
        <w:t>Recommended Additions to the Cloud Controls Matrix for the NET+ Security Initiative</w:t>
      </w:r>
      <w:bookmarkStart w:id="0" w:name="_GoBack"/>
      <w:bookmarkEnd w:id="0"/>
    </w:p>
    <w:p w:rsidR="00615D1B" w:rsidRPr="009F13DF" w:rsidRDefault="00615D1B">
      <w:pPr>
        <w:rPr>
          <w:rFonts w:ascii="Arial" w:hAnsi="Arial" w:cs="Arial"/>
          <w:sz w:val="20"/>
          <w:szCs w:val="20"/>
        </w:rPr>
      </w:pPr>
      <w:r w:rsidRPr="009F13DF">
        <w:rPr>
          <w:rFonts w:ascii="Arial" w:hAnsi="Arial" w:cs="Arial"/>
          <w:sz w:val="20"/>
          <w:szCs w:val="20"/>
        </w:rPr>
        <w:t>InCommon Assurance Advisory Committee and Technical Advisory Committee</w:t>
      </w:r>
    </w:p>
    <w:p w:rsidR="00615D1B" w:rsidRPr="009F13DF" w:rsidRDefault="005B1C9D">
      <w:pPr>
        <w:rPr>
          <w:rFonts w:ascii="Arial" w:hAnsi="Arial" w:cs="Arial"/>
          <w:sz w:val="20"/>
          <w:szCs w:val="20"/>
        </w:rPr>
      </w:pPr>
      <w:r>
        <w:rPr>
          <w:rFonts w:ascii="Arial" w:hAnsi="Arial" w:cs="Arial"/>
          <w:sz w:val="20"/>
          <w:szCs w:val="20"/>
        </w:rPr>
        <w:t xml:space="preserve">Draft - </w:t>
      </w:r>
      <w:r w:rsidR="00615D1B" w:rsidRPr="009F13DF">
        <w:rPr>
          <w:rFonts w:ascii="Arial" w:hAnsi="Arial" w:cs="Arial"/>
          <w:sz w:val="20"/>
          <w:szCs w:val="20"/>
        </w:rPr>
        <w:t>January 2, 2014</w:t>
      </w:r>
    </w:p>
    <w:p w:rsidR="00615D1B" w:rsidRPr="009F13DF" w:rsidRDefault="00615D1B">
      <w:pPr>
        <w:rPr>
          <w:rFonts w:ascii="Arial" w:hAnsi="Arial" w:cs="Arial"/>
          <w:sz w:val="20"/>
          <w:szCs w:val="20"/>
        </w:rPr>
      </w:pPr>
      <w:r w:rsidRPr="009F13DF">
        <w:rPr>
          <w:rFonts w:ascii="Arial" w:hAnsi="Arial" w:cs="Arial"/>
          <w:sz w:val="20"/>
          <w:szCs w:val="20"/>
        </w:rPr>
        <w:t>InCommon recommends including controls in the Cloud Controls Matrix to support federated authentication and identity management.</w:t>
      </w:r>
    </w:p>
    <w:p w:rsidR="00657121" w:rsidRPr="00657121" w:rsidRDefault="00657121" w:rsidP="00657121">
      <w:pPr>
        <w:shd w:val="clear" w:color="auto" w:fill="FFFFFF"/>
        <w:spacing w:before="288" w:after="72" w:line="240" w:lineRule="auto"/>
        <w:outlineLvl w:val="4"/>
        <w:rPr>
          <w:rFonts w:ascii="Arial" w:eastAsia="Times New Roman" w:hAnsi="Arial" w:cs="Arial"/>
          <w:b/>
          <w:bCs/>
          <w:color w:val="000000"/>
          <w:sz w:val="24"/>
          <w:szCs w:val="24"/>
        </w:rPr>
      </w:pPr>
      <w:bookmarkStart w:id="1" w:name="CloudControlsMatrixforNET%2BSecurityInit"/>
      <w:bookmarkEnd w:id="1"/>
      <w:r w:rsidRPr="00657121">
        <w:rPr>
          <w:rFonts w:ascii="Arial" w:eastAsia="Times New Roman" w:hAnsi="Arial" w:cs="Arial"/>
          <w:b/>
          <w:bCs/>
          <w:color w:val="000000"/>
          <w:sz w:val="24"/>
          <w:szCs w:val="24"/>
        </w:rPr>
        <w:t>Justification:</w:t>
      </w:r>
    </w:p>
    <w:p w:rsidR="00657121" w:rsidRPr="00657121" w:rsidRDefault="00657121" w:rsidP="00657121">
      <w:pPr>
        <w:shd w:val="clear" w:color="auto" w:fill="FFFFFF"/>
        <w:spacing w:before="150" w:after="150" w:line="260" w:lineRule="atLeast"/>
        <w:rPr>
          <w:rFonts w:ascii="Arial" w:eastAsia="Times New Roman" w:hAnsi="Arial" w:cs="Arial"/>
          <w:color w:val="333333"/>
          <w:sz w:val="20"/>
          <w:szCs w:val="20"/>
        </w:rPr>
      </w:pPr>
      <w:r w:rsidRPr="00657121">
        <w:rPr>
          <w:rFonts w:ascii="Arial" w:eastAsia="Times New Roman" w:hAnsi="Arial" w:cs="Arial"/>
          <w:color w:val="333333"/>
          <w:sz w:val="20"/>
          <w:szCs w:val="20"/>
        </w:rPr>
        <w:t>At the end of 2013, InCommon will have served more than 7.5 million end users in the U.S.</w:t>
      </w:r>
      <w:r w:rsidR="00A0679B">
        <w:rPr>
          <w:rFonts w:ascii="Arial" w:eastAsia="Times New Roman" w:hAnsi="Arial" w:cs="Arial"/>
          <w:color w:val="333333"/>
          <w:sz w:val="20"/>
          <w:szCs w:val="20"/>
        </w:rPr>
        <w:t xml:space="preserve"> with federated identity management</w:t>
      </w:r>
      <w:r w:rsidRPr="00657121">
        <w:rPr>
          <w:rFonts w:ascii="Arial" w:eastAsia="Times New Roman" w:hAnsi="Arial" w:cs="Arial"/>
          <w:color w:val="333333"/>
          <w:sz w:val="20"/>
          <w:szCs w:val="20"/>
        </w:rPr>
        <w:t>.</w:t>
      </w:r>
      <w:r w:rsidR="00A0679B">
        <w:rPr>
          <w:rStyle w:val="FootnoteReference"/>
          <w:rFonts w:ascii="Arial" w:eastAsia="Times New Roman" w:hAnsi="Arial" w:cs="Arial"/>
          <w:color w:val="333333"/>
          <w:sz w:val="20"/>
          <w:szCs w:val="20"/>
        </w:rPr>
        <w:footnoteReference w:id="1"/>
      </w:r>
      <w:r w:rsidRPr="00657121">
        <w:rPr>
          <w:rFonts w:ascii="Arial" w:eastAsia="Times New Roman" w:hAnsi="Arial" w:cs="Arial"/>
          <w:color w:val="333333"/>
          <w:sz w:val="20"/>
          <w:szCs w:val="20"/>
        </w:rPr>
        <w:t xml:space="preserve"> Without federation, the credentials for those users would be managed by the service providers.  Over 400 </w:t>
      </w:r>
      <w:hyperlink r:id="rId8" w:history="1">
        <w:r w:rsidRPr="00657121">
          <w:rPr>
            <w:rFonts w:ascii="Arial" w:eastAsia="Times New Roman" w:hAnsi="Arial" w:cs="Arial"/>
            <w:color w:val="0000FF"/>
            <w:sz w:val="20"/>
            <w:szCs w:val="20"/>
          </w:rPr>
          <w:t>InCommon Participants </w:t>
        </w:r>
      </w:hyperlink>
      <w:r w:rsidRPr="00657121">
        <w:rPr>
          <w:rFonts w:ascii="Arial" w:eastAsia="Times New Roman" w:hAnsi="Arial" w:cs="Arial"/>
          <w:color w:val="333333"/>
          <w:sz w:val="20"/>
          <w:szCs w:val="20"/>
        </w:rPr>
        <w:t>are Identity Providers in Higher Education. These institutions are committed to utilizing federated authentication, and their users are counting on using their institution's local credentials to access services in the cloud. With feder</w:t>
      </w:r>
      <w:r w:rsidR="007B6029">
        <w:rPr>
          <w:rFonts w:ascii="Arial" w:eastAsia="Times New Roman" w:hAnsi="Arial" w:cs="Arial"/>
          <w:color w:val="333333"/>
          <w:sz w:val="20"/>
          <w:szCs w:val="20"/>
        </w:rPr>
        <w:t>ation through InCommon, the IdP</w:t>
      </w:r>
      <w:r w:rsidRPr="00657121">
        <w:rPr>
          <w:rFonts w:ascii="Arial" w:eastAsia="Times New Roman" w:hAnsi="Arial" w:cs="Arial"/>
          <w:color w:val="333333"/>
          <w:sz w:val="20"/>
          <w:szCs w:val="20"/>
        </w:rPr>
        <w:t xml:space="preserve">s are responsible for the security of their users' credentials. Minimal information is released to the relying party to facilitate authentication and to allow the service to make authorization decisions. If needed, the service can require a higher level of assurance in the identity of the person authenticating. Those identities are vetted according to the </w:t>
      </w:r>
      <w:hyperlink r:id="rId9" w:history="1">
        <w:r w:rsidRPr="00657121">
          <w:rPr>
            <w:rFonts w:ascii="Arial" w:eastAsia="Times New Roman" w:hAnsi="Arial" w:cs="Arial"/>
            <w:color w:val="0000FF"/>
            <w:sz w:val="20"/>
            <w:szCs w:val="20"/>
          </w:rPr>
          <w:t xml:space="preserve">InCommon Assurance </w:t>
        </w:r>
        <w:r w:rsidR="007B6029" w:rsidRPr="00657121">
          <w:rPr>
            <w:rFonts w:ascii="Arial" w:eastAsia="Times New Roman" w:hAnsi="Arial" w:cs="Arial"/>
            <w:color w:val="0000FF"/>
            <w:sz w:val="20"/>
            <w:szCs w:val="20"/>
          </w:rPr>
          <w:t>Program</w:t>
        </w:r>
      </w:hyperlink>
      <w:r w:rsidRPr="00657121">
        <w:rPr>
          <w:rFonts w:ascii="Arial" w:eastAsia="Times New Roman" w:hAnsi="Arial" w:cs="Arial"/>
          <w:color w:val="333333"/>
          <w:sz w:val="20"/>
          <w:szCs w:val="20"/>
        </w:rPr>
        <w:t>.</w:t>
      </w:r>
      <w:r>
        <w:rPr>
          <w:rFonts w:ascii="Arial" w:eastAsia="Times New Roman" w:hAnsi="Arial" w:cs="Arial"/>
          <w:color w:val="333333"/>
          <w:sz w:val="20"/>
          <w:szCs w:val="20"/>
        </w:rPr>
        <w:t xml:space="preserve"> </w:t>
      </w:r>
    </w:p>
    <w:p w:rsidR="00657121" w:rsidRPr="00657121" w:rsidRDefault="00657121" w:rsidP="00657121">
      <w:pPr>
        <w:shd w:val="clear" w:color="auto" w:fill="FFFFFF"/>
        <w:spacing w:before="150" w:after="150" w:line="260" w:lineRule="atLeast"/>
        <w:rPr>
          <w:rFonts w:ascii="Arial" w:eastAsia="Times New Roman" w:hAnsi="Arial" w:cs="Arial"/>
          <w:color w:val="333333"/>
          <w:sz w:val="20"/>
          <w:szCs w:val="20"/>
        </w:rPr>
      </w:pPr>
      <w:r w:rsidRPr="00657121">
        <w:rPr>
          <w:rFonts w:ascii="Arial" w:eastAsia="Times New Roman" w:hAnsi="Arial" w:cs="Arial"/>
          <w:color w:val="333333"/>
          <w:sz w:val="20"/>
          <w:szCs w:val="20"/>
        </w:rPr>
        <w:t>Federated authentication will relieve the NET+ services from the security liability of managing end-user credentials. By joining InCommon and agreeing to a common authentication method (based on SAML2), the NET+ services and the IdPs with which they interact also benefit from standard authentication integration. There is no longer the need for one-off integration with each IdP.</w:t>
      </w:r>
    </w:p>
    <w:p w:rsidR="00657121" w:rsidRDefault="00657121" w:rsidP="00657121">
      <w:pPr>
        <w:shd w:val="clear" w:color="auto" w:fill="FFFFFF"/>
        <w:spacing w:before="150" w:after="150" w:line="260" w:lineRule="atLeast"/>
        <w:rPr>
          <w:rFonts w:ascii="Arial" w:eastAsia="Times New Roman" w:hAnsi="Arial" w:cs="Arial"/>
          <w:color w:val="333333"/>
          <w:sz w:val="20"/>
          <w:szCs w:val="20"/>
        </w:rPr>
      </w:pPr>
      <w:r w:rsidRPr="00657121">
        <w:rPr>
          <w:rFonts w:ascii="Arial" w:eastAsia="Times New Roman" w:hAnsi="Arial" w:cs="Arial"/>
          <w:color w:val="333333"/>
          <w:sz w:val="20"/>
          <w:szCs w:val="20"/>
        </w:rPr>
        <w:t xml:space="preserve">Federated authentication also supports the goals of the </w:t>
      </w:r>
      <w:hyperlink r:id="rId10" w:history="1">
        <w:r w:rsidRPr="00657121">
          <w:rPr>
            <w:rFonts w:ascii="Arial" w:eastAsia="Times New Roman" w:hAnsi="Arial" w:cs="Arial"/>
            <w:color w:val="0000FF"/>
            <w:sz w:val="20"/>
            <w:szCs w:val="20"/>
          </w:rPr>
          <w:t>Identity Ecosystem Steering Group</w:t>
        </w:r>
      </w:hyperlink>
      <w:r w:rsidRPr="00657121">
        <w:rPr>
          <w:rFonts w:ascii="Arial" w:eastAsia="Times New Roman" w:hAnsi="Arial" w:cs="Arial"/>
          <w:color w:val="333333"/>
          <w:sz w:val="20"/>
          <w:szCs w:val="20"/>
        </w:rPr>
        <w:t xml:space="preserve"> which was formed as part of the </w:t>
      </w:r>
      <w:hyperlink r:id="rId11" w:history="1">
        <w:r w:rsidRPr="00657121">
          <w:rPr>
            <w:rFonts w:ascii="Arial" w:eastAsia="Times New Roman" w:hAnsi="Arial" w:cs="Arial"/>
            <w:color w:val="0000FF"/>
            <w:sz w:val="20"/>
            <w:szCs w:val="20"/>
          </w:rPr>
          <w:t xml:space="preserve">National Strategy for Trusted Identities in </w:t>
        </w:r>
        <w:r w:rsidR="007B6029" w:rsidRPr="00657121">
          <w:rPr>
            <w:rFonts w:ascii="Arial" w:eastAsia="Times New Roman" w:hAnsi="Arial" w:cs="Arial"/>
            <w:color w:val="0000FF"/>
            <w:sz w:val="20"/>
            <w:szCs w:val="20"/>
          </w:rPr>
          <w:t>Cyberspace</w:t>
        </w:r>
      </w:hyperlink>
      <w:r w:rsidRPr="00657121">
        <w:rPr>
          <w:rFonts w:ascii="Arial" w:eastAsia="Times New Roman" w:hAnsi="Arial" w:cs="Arial"/>
          <w:color w:val="333333"/>
          <w:sz w:val="20"/>
          <w:szCs w:val="20"/>
        </w:rPr>
        <w:t xml:space="preserve">. To be consistent with security provided by trust frameworks in the private, public, and government sectors, Internet2 NET+ services should commit to supporting federated authentication and identity management. </w:t>
      </w:r>
    </w:p>
    <w:p w:rsidR="008E00BF" w:rsidRDefault="008E00BF" w:rsidP="00657121">
      <w:pPr>
        <w:shd w:val="clear" w:color="auto" w:fill="FFFFFF"/>
        <w:spacing w:before="150" w:after="150" w:line="260" w:lineRule="atLeast"/>
        <w:rPr>
          <w:rFonts w:ascii="Arial" w:eastAsia="Times New Roman" w:hAnsi="Arial" w:cs="Arial"/>
          <w:b/>
          <w:color w:val="333333"/>
          <w:sz w:val="24"/>
          <w:szCs w:val="24"/>
        </w:rPr>
      </w:pPr>
      <w:r>
        <w:rPr>
          <w:rFonts w:ascii="Arial" w:eastAsia="Times New Roman" w:hAnsi="Arial" w:cs="Arial"/>
          <w:b/>
          <w:color w:val="333333"/>
          <w:sz w:val="24"/>
          <w:szCs w:val="24"/>
        </w:rPr>
        <w:t>Recommended Additions:</w:t>
      </w:r>
    </w:p>
    <w:tbl>
      <w:tblPr>
        <w:tblStyle w:val="TableGrid"/>
        <w:tblW w:w="0" w:type="auto"/>
        <w:tblLook w:val="04A0" w:firstRow="1" w:lastRow="0" w:firstColumn="1" w:lastColumn="0" w:noHBand="0" w:noVBand="1"/>
      </w:tblPr>
      <w:tblGrid>
        <w:gridCol w:w="2394"/>
        <w:gridCol w:w="2394"/>
        <w:gridCol w:w="2394"/>
        <w:gridCol w:w="2394"/>
      </w:tblGrid>
      <w:tr w:rsidR="008E00BF" w:rsidTr="008E00BF">
        <w:tc>
          <w:tcPr>
            <w:tcW w:w="2394" w:type="dxa"/>
          </w:tcPr>
          <w:p w:rsidR="008E00BF" w:rsidRDefault="008E00BF" w:rsidP="00657121">
            <w:pPr>
              <w:spacing w:before="150" w:after="150" w:line="260" w:lineRule="atLeast"/>
              <w:rPr>
                <w:rFonts w:ascii="Arial" w:eastAsia="Times New Roman" w:hAnsi="Arial" w:cs="Arial"/>
                <w:b/>
                <w:color w:val="333333"/>
                <w:sz w:val="24"/>
                <w:szCs w:val="24"/>
              </w:rPr>
            </w:pPr>
            <w:r>
              <w:rPr>
                <w:rFonts w:ascii="Arial" w:eastAsia="Times New Roman" w:hAnsi="Arial" w:cs="Arial"/>
                <w:b/>
                <w:color w:val="333333"/>
                <w:sz w:val="24"/>
                <w:szCs w:val="24"/>
              </w:rPr>
              <w:t>Control Domain</w:t>
            </w:r>
          </w:p>
        </w:tc>
        <w:tc>
          <w:tcPr>
            <w:tcW w:w="2394" w:type="dxa"/>
          </w:tcPr>
          <w:p w:rsidR="008E00BF" w:rsidRDefault="008E00BF" w:rsidP="00657121">
            <w:pPr>
              <w:spacing w:before="150" w:after="150" w:line="260" w:lineRule="atLeast"/>
              <w:rPr>
                <w:rFonts w:ascii="Arial" w:eastAsia="Times New Roman" w:hAnsi="Arial" w:cs="Arial"/>
                <w:b/>
                <w:color w:val="333333"/>
                <w:sz w:val="24"/>
                <w:szCs w:val="24"/>
              </w:rPr>
            </w:pPr>
            <w:r>
              <w:rPr>
                <w:rFonts w:ascii="Arial" w:eastAsia="Times New Roman" w:hAnsi="Arial" w:cs="Arial"/>
                <w:b/>
                <w:color w:val="333333"/>
                <w:sz w:val="24"/>
                <w:szCs w:val="24"/>
              </w:rPr>
              <w:t>CCM V3.0 Control ID</w:t>
            </w:r>
          </w:p>
        </w:tc>
        <w:tc>
          <w:tcPr>
            <w:tcW w:w="2394" w:type="dxa"/>
          </w:tcPr>
          <w:p w:rsidR="008E00BF" w:rsidRDefault="008E00BF" w:rsidP="00657121">
            <w:pPr>
              <w:spacing w:before="150" w:after="150" w:line="260" w:lineRule="atLeast"/>
              <w:rPr>
                <w:rFonts w:ascii="Arial" w:eastAsia="Times New Roman" w:hAnsi="Arial" w:cs="Arial"/>
                <w:b/>
                <w:color w:val="333333"/>
                <w:sz w:val="24"/>
                <w:szCs w:val="24"/>
              </w:rPr>
            </w:pPr>
            <w:r>
              <w:rPr>
                <w:rFonts w:ascii="Arial" w:eastAsia="Times New Roman" w:hAnsi="Arial" w:cs="Arial"/>
                <w:b/>
                <w:color w:val="333333"/>
                <w:sz w:val="24"/>
                <w:szCs w:val="24"/>
              </w:rPr>
              <w:t>Control specification</w:t>
            </w:r>
          </w:p>
        </w:tc>
        <w:tc>
          <w:tcPr>
            <w:tcW w:w="2394" w:type="dxa"/>
          </w:tcPr>
          <w:p w:rsidR="008E00BF" w:rsidRDefault="009558F0" w:rsidP="00657121">
            <w:pPr>
              <w:spacing w:before="150" w:after="150" w:line="260" w:lineRule="atLeast"/>
              <w:rPr>
                <w:rFonts w:ascii="Arial" w:eastAsia="Times New Roman" w:hAnsi="Arial" w:cs="Arial"/>
                <w:b/>
                <w:color w:val="333333"/>
                <w:sz w:val="24"/>
                <w:szCs w:val="24"/>
              </w:rPr>
            </w:pPr>
            <w:hyperlink r:id="rId12" w:history="1">
              <w:r w:rsidR="008E00BF" w:rsidRPr="00C12C71">
                <w:rPr>
                  <w:rStyle w:val="Hyperlink"/>
                  <w:rFonts w:ascii="Arial" w:eastAsia="Times New Roman" w:hAnsi="Arial" w:cs="Arial"/>
                  <w:b/>
                  <w:sz w:val="24"/>
                  <w:szCs w:val="24"/>
                </w:rPr>
                <w:t>InCommon Identity Assurance Profile Version 1.2</w:t>
              </w:r>
            </w:hyperlink>
            <w:r w:rsidR="008E00BF">
              <w:rPr>
                <w:rFonts w:ascii="Arial" w:eastAsia="Times New Roman" w:hAnsi="Arial" w:cs="Arial"/>
                <w:b/>
                <w:color w:val="333333"/>
                <w:sz w:val="24"/>
                <w:szCs w:val="24"/>
              </w:rPr>
              <w:t xml:space="preserve"> Section</w:t>
            </w:r>
          </w:p>
        </w:tc>
      </w:tr>
      <w:tr w:rsidR="008E00BF" w:rsidTr="008E00BF">
        <w:tc>
          <w:tcPr>
            <w:tcW w:w="2394" w:type="dxa"/>
          </w:tcPr>
          <w:p w:rsidR="008E00BF" w:rsidRDefault="008E00BF"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 xml:space="preserve">Identity &amp; Access Management </w:t>
            </w:r>
            <w:r>
              <w:rPr>
                <w:rFonts w:ascii="Arial" w:hAnsi="Arial" w:cs="Arial"/>
                <w:color w:val="333333"/>
                <w:sz w:val="20"/>
                <w:szCs w:val="20"/>
              </w:rPr>
              <w:br/>
              <w:t>Credential Lifecycle / Provision Management</w:t>
            </w:r>
          </w:p>
        </w:tc>
        <w:tc>
          <w:tcPr>
            <w:tcW w:w="2394" w:type="dxa"/>
          </w:tcPr>
          <w:p w:rsidR="008E00BF"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IAM-02</w:t>
            </w:r>
          </w:p>
        </w:tc>
        <w:tc>
          <w:tcPr>
            <w:tcW w:w="2394" w:type="dxa"/>
          </w:tcPr>
          <w:p w:rsidR="008E00BF" w:rsidRDefault="008E00BF" w:rsidP="00657121">
            <w:pPr>
              <w:spacing w:before="150" w:after="150" w:line="260" w:lineRule="atLeast"/>
              <w:rPr>
                <w:rFonts w:ascii="Arial" w:eastAsia="Times New Roman" w:hAnsi="Arial" w:cs="Arial"/>
                <w:b/>
                <w:color w:val="333333"/>
                <w:sz w:val="24"/>
                <w:szCs w:val="24"/>
              </w:rPr>
            </w:pPr>
          </w:p>
        </w:tc>
        <w:tc>
          <w:tcPr>
            <w:tcW w:w="2394" w:type="dxa"/>
          </w:tcPr>
          <w:p w:rsidR="008E00BF"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 xml:space="preserve">4.2.8.2.2 </w:t>
            </w:r>
            <w:r>
              <w:rPr>
                <w:rFonts w:ascii="Arial" w:hAnsi="Arial" w:cs="Arial"/>
                <w:color w:val="333333"/>
                <w:sz w:val="20"/>
                <w:szCs w:val="20"/>
              </w:rPr>
              <w:br/>
              <w:t xml:space="preserve">4.2.7 </w:t>
            </w:r>
            <w:r>
              <w:rPr>
                <w:rFonts w:ascii="Arial" w:hAnsi="Arial" w:cs="Arial"/>
                <w:color w:val="333333"/>
                <w:sz w:val="20"/>
                <w:szCs w:val="20"/>
              </w:rPr>
              <w:br/>
              <w:t xml:space="preserve">4.2.4.1 </w:t>
            </w:r>
            <w:r>
              <w:rPr>
                <w:rFonts w:ascii="Arial" w:hAnsi="Arial" w:cs="Arial"/>
                <w:color w:val="333333"/>
                <w:sz w:val="20"/>
                <w:szCs w:val="20"/>
              </w:rPr>
              <w:br/>
              <w:t xml:space="preserve">4.2.5.6 </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Identity &amp; Access Management </w:t>
            </w:r>
            <w:r>
              <w:rPr>
                <w:rFonts w:ascii="Arial" w:hAnsi="Arial" w:cs="Arial"/>
                <w:color w:val="333333"/>
                <w:sz w:val="20"/>
                <w:szCs w:val="20"/>
              </w:rPr>
              <w:br/>
              <w:t xml:space="preserve">Diagnostic / </w:t>
            </w:r>
            <w:r>
              <w:rPr>
                <w:rFonts w:ascii="Arial" w:hAnsi="Arial" w:cs="Arial"/>
                <w:color w:val="333333"/>
                <w:sz w:val="20"/>
                <w:szCs w:val="20"/>
              </w:rPr>
              <w:lastRenderedPageBreak/>
              <w:t xml:space="preserve">Configuration Ports Access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lastRenderedPageBreak/>
              <w:t xml:space="preserve">IAM-03 </w:t>
            </w: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4.2.8.2.1</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lastRenderedPageBreak/>
              <w:t xml:space="preserve">Identity &amp; Access Management </w:t>
            </w:r>
            <w:r>
              <w:rPr>
                <w:rFonts w:ascii="Arial" w:hAnsi="Arial" w:cs="Arial"/>
                <w:color w:val="333333"/>
                <w:sz w:val="20"/>
                <w:szCs w:val="20"/>
              </w:rPr>
              <w:br/>
              <w:t xml:space="preserve">Policies and Procedures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IAM-04 </w:t>
            </w: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p>
        </w:tc>
        <w:tc>
          <w:tcPr>
            <w:tcW w:w="2394" w:type="dxa"/>
          </w:tcPr>
          <w:p w:rsidR="001001D9" w:rsidRDefault="001001D9" w:rsidP="00657121">
            <w:pPr>
              <w:spacing w:before="150" w:after="150" w:line="260" w:lineRule="atLeast"/>
              <w:rPr>
                <w:rFonts w:ascii="Arial" w:hAnsi="Arial" w:cs="Arial"/>
                <w:color w:val="333333"/>
                <w:sz w:val="20"/>
                <w:szCs w:val="20"/>
              </w:rPr>
            </w:pPr>
            <w:r>
              <w:rPr>
                <w:rFonts w:ascii="Arial" w:hAnsi="Arial" w:cs="Arial"/>
                <w:color w:val="333333"/>
                <w:sz w:val="20"/>
                <w:szCs w:val="20"/>
              </w:rPr>
              <w:t>4.2.8.2</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Identity &amp; Access Management </w:t>
            </w:r>
            <w:r>
              <w:rPr>
                <w:rFonts w:ascii="Arial" w:hAnsi="Arial" w:cs="Arial"/>
                <w:color w:val="333333"/>
                <w:sz w:val="20"/>
                <w:szCs w:val="20"/>
              </w:rPr>
              <w:br/>
              <w:t xml:space="preserve">User Access Authorization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IAM-09 </w:t>
            </w: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 xml:space="preserve">4.2.8.2 </w:t>
            </w:r>
            <w:r>
              <w:rPr>
                <w:rFonts w:ascii="Arial" w:hAnsi="Arial" w:cs="Arial"/>
                <w:color w:val="333333"/>
                <w:sz w:val="20"/>
                <w:szCs w:val="20"/>
              </w:rPr>
              <w:br/>
              <w:t>4.2.8.3</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Identity &amp; Access Management </w:t>
            </w:r>
            <w:r>
              <w:rPr>
                <w:rFonts w:ascii="Arial" w:hAnsi="Arial" w:cs="Arial"/>
                <w:color w:val="333333"/>
                <w:sz w:val="20"/>
                <w:szCs w:val="20"/>
              </w:rPr>
              <w:br/>
              <w:t xml:space="preserve">User Access Revocation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IAM-11 </w:t>
            </w: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 xml:space="preserve">4.2.8.2 </w:t>
            </w:r>
            <w:r>
              <w:rPr>
                <w:rFonts w:ascii="Arial" w:hAnsi="Arial" w:cs="Arial"/>
                <w:color w:val="333333"/>
                <w:sz w:val="20"/>
                <w:szCs w:val="20"/>
              </w:rPr>
              <w:br/>
              <w:t>4.2.8.3</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Identity &amp; Access Management </w:t>
            </w:r>
            <w:r>
              <w:rPr>
                <w:rFonts w:ascii="Arial" w:hAnsi="Arial" w:cs="Arial"/>
                <w:color w:val="333333"/>
                <w:sz w:val="20"/>
                <w:szCs w:val="20"/>
              </w:rPr>
              <w:br/>
              <w:t xml:space="preserve">User ID Credentials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333333"/>
                <w:sz w:val="20"/>
                <w:szCs w:val="20"/>
              </w:rPr>
              <w:t xml:space="preserve">IAM-12 </w:t>
            </w: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p>
        </w:tc>
        <w:tc>
          <w:tcPr>
            <w:tcW w:w="2394" w:type="dxa"/>
          </w:tcPr>
          <w:p w:rsidR="001001D9" w:rsidRDefault="001001D9" w:rsidP="00657121">
            <w:pPr>
              <w:spacing w:before="150" w:after="150" w:line="260" w:lineRule="atLeast"/>
              <w:rPr>
                <w:rFonts w:ascii="Arial" w:eastAsia="Times New Roman" w:hAnsi="Arial" w:cs="Arial"/>
                <w:b/>
                <w:color w:val="333333"/>
                <w:sz w:val="24"/>
                <w:szCs w:val="24"/>
              </w:rPr>
            </w:pPr>
            <w:r>
              <w:rPr>
                <w:rFonts w:ascii="Arial" w:hAnsi="Arial" w:cs="Arial"/>
                <w:color w:val="333333"/>
                <w:sz w:val="20"/>
                <w:szCs w:val="20"/>
              </w:rPr>
              <w:t xml:space="preserve">4.2.7 </w:t>
            </w:r>
            <w:r>
              <w:rPr>
                <w:rFonts w:ascii="Arial" w:hAnsi="Arial" w:cs="Arial"/>
                <w:color w:val="333333"/>
                <w:sz w:val="20"/>
                <w:szCs w:val="20"/>
              </w:rPr>
              <w:br/>
              <w:t xml:space="preserve">4.2.4.1 </w:t>
            </w:r>
            <w:r>
              <w:rPr>
                <w:rFonts w:ascii="Arial" w:hAnsi="Arial" w:cs="Arial"/>
                <w:color w:val="333333"/>
                <w:sz w:val="20"/>
                <w:szCs w:val="20"/>
              </w:rPr>
              <w:br/>
              <w:t>4.2.5.6</w:t>
            </w:r>
          </w:p>
        </w:tc>
      </w:tr>
      <w:tr w:rsidR="001001D9" w:rsidTr="008E00BF">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b/>
                <w:bCs/>
                <w:color w:val="993300"/>
                <w:sz w:val="20"/>
                <w:szCs w:val="20"/>
              </w:rPr>
              <w:t>Identity &amp; Access Management</w:t>
            </w:r>
            <w:r>
              <w:rPr>
                <w:rFonts w:ascii="Arial" w:hAnsi="Arial" w:cs="Arial"/>
                <w:color w:val="333333"/>
                <w:sz w:val="20"/>
                <w:szCs w:val="20"/>
              </w:rPr>
              <w:br/>
            </w:r>
            <w:r>
              <w:rPr>
                <w:rFonts w:ascii="Arial" w:hAnsi="Arial" w:cs="Arial"/>
                <w:b/>
                <w:bCs/>
                <w:color w:val="993300"/>
                <w:sz w:val="20"/>
                <w:szCs w:val="20"/>
              </w:rPr>
              <w:t>User ID Credentials</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b/>
                <w:bCs/>
                <w:color w:val="993300"/>
                <w:sz w:val="20"/>
                <w:szCs w:val="20"/>
              </w:rPr>
              <w:t>IAM-14</w:t>
            </w:r>
            <w:r>
              <w:rPr>
                <w:rFonts w:ascii="Arial" w:hAnsi="Arial" w:cs="Arial"/>
                <w:color w:val="333333"/>
                <w:sz w:val="20"/>
                <w:szCs w:val="20"/>
              </w:rPr>
              <w:t xml:space="preserve"> </w:t>
            </w:r>
          </w:p>
        </w:tc>
        <w:tc>
          <w:tcPr>
            <w:tcW w:w="2394" w:type="dxa"/>
          </w:tcPr>
          <w:p w:rsidR="001001D9" w:rsidRDefault="001001D9">
            <w:pPr>
              <w:spacing w:before="75" w:after="75" w:line="260" w:lineRule="atLeast"/>
              <w:rPr>
                <w:rFonts w:ascii="Arial" w:hAnsi="Arial" w:cs="Arial"/>
                <w:color w:val="333333"/>
                <w:sz w:val="20"/>
                <w:szCs w:val="20"/>
              </w:rPr>
            </w:pPr>
            <w:r>
              <w:rPr>
                <w:rFonts w:ascii="Arial" w:hAnsi="Arial" w:cs="Arial"/>
                <w:color w:val="800000"/>
                <w:sz w:val="20"/>
                <w:szCs w:val="20"/>
              </w:rPr>
              <w:t>Wherever possible, identity federation using the SAML protocol shall be used to handle authentication and the passing of identity-related data for authorization purposes.</w:t>
            </w:r>
            <w:r>
              <w:rPr>
                <w:rFonts w:ascii="Arial" w:hAnsi="Arial" w:cs="Arial"/>
                <w:color w:val="333333"/>
                <w:sz w:val="20"/>
                <w:szCs w:val="20"/>
              </w:rPr>
              <w:t xml:space="preserve"> </w:t>
            </w:r>
          </w:p>
        </w:tc>
        <w:tc>
          <w:tcPr>
            <w:tcW w:w="2394" w:type="dxa"/>
          </w:tcPr>
          <w:p w:rsidR="001001D9" w:rsidRDefault="001001D9" w:rsidP="00C951E1">
            <w:pPr>
              <w:spacing w:before="150" w:after="150" w:line="260" w:lineRule="atLeast"/>
              <w:rPr>
                <w:rFonts w:ascii="Arial" w:hAnsi="Arial" w:cs="Arial"/>
                <w:color w:val="333333"/>
                <w:sz w:val="20"/>
                <w:szCs w:val="20"/>
              </w:rPr>
            </w:pPr>
            <w:r>
              <w:rPr>
                <w:rFonts w:ascii="Arial" w:hAnsi="Arial" w:cs="Arial"/>
                <w:color w:val="333333"/>
                <w:sz w:val="20"/>
                <w:szCs w:val="20"/>
              </w:rPr>
              <w:t xml:space="preserve">4.2.7.2 </w:t>
            </w:r>
            <w:r>
              <w:rPr>
                <w:rFonts w:ascii="Arial" w:hAnsi="Arial" w:cs="Arial"/>
                <w:color w:val="333333"/>
                <w:sz w:val="20"/>
                <w:szCs w:val="20"/>
              </w:rPr>
              <w:br/>
            </w:r>
            <w:r>
              <w:rPr>
                <w:rFonts w:ascii="Arial" w:hAnsi="Arial" w:cs="Arial"/>
                <w:color w:val="333333"/>
                <w:sz w:val="20"/>
                <w:szCs w:val="20"/>
              </w:rPr>
              <w:br/>
            </w:r>
            <w:hyperlink r:id="rId13" w:history="1">
              <w:r w:rsidRPr="00C12C71">
                <w:rPr>
                  <w:rStyle w:val="Hyperlink"/>
                  <w:rFonts w:ascii="Arial" w:hAnsi="Arial" w:cs="Arial"/>
                  <w:sz w:val="20"/>
                  <w:szCs w:val="20"/>
                </w:rPr>
                <w:t>InCommon Assurance Assessment Framework v1.2</w:t>
              </w:r>
            </w:hyperlink>
            <w:r>
              <w:rPr>
                <w:rFonts w:ascii="Arial" w:hAnsi="Arial" w:cs="Arial"/>
                <w:color w:val="333333"/>
                <w:sz w:val="20"/>
                <w:szCs w:val="20"/>
              </w:rPr>
              <w:t xml:space="preserve"> </w:t>
            </w:r>
            <w:r w:rsidR="00C951E1">
              <w:rPr>
                <w:rFonts w:ascii="Arial" w:hAnsi="Arial" w:cs="Arial"/>
                <w:color w:val="333333"/>
                <w:sz w:val="20"/>
                <w:szCs w:val="20"/>
              </w:rPr>
              <w:t xml:space="preserve">describes federated framework and control specifications. </w:t>
            </w:r>
          </w:p>
        </w:tc>
      </w:tr>
    </w:tbl>
    <w:p w:rsidR="008E00BF" w:rsidRPr="008E00BF" w:rsidRDefault="008E00BF" w:rsidP="00657121">
      <w:pPr>
        <w:shd w:val="clear" w:color="auto" w:fill="FFFFFF"/>
        <w:spacing w:before="150" w:after="150" w:line="260" w:lineRule="atLeast"/>
        <w:rPr>
          <w:rFonts w:ascii="Arial" w:eastAsia="Times New Roman" w:hAnsi="Arial" w:cs="Arial"/>
          <w:b/>
          <w:color w:val="333333"/>
          <w:sz w:val="24"/>
          <w:szCs w:val="24"/>
        </w:rPr>
      </w:pPr>
    </w:p>
    <w:p w:rsidR="008E00BF" w:rsidRPr="00657121" w:rsidRDefault="008E00BF" w:rsidP="00657121">
      <w:pPr>
        <w:shd w:val="clear" w:color="auto" w:fill="FFFFFF"/>
        <w:spacing w:before="150" w:after="150" w:line="260" w:lineRule="atLeast"/>
        <w:rPr>
          <w:rFonts w:ascii="Arial" w:eastAsia="Times New Roman" w:hAnsi="Arial" w:cs="Arial"/>
          <w:color w:val="333333"/>
          <w:sz w:val="20"/>
          <w:szCs w:val="20"/>
        </w:rPr>
      </w:pPr>
    </w:p>
    <w:p w:rsidR="00615D1B" w:rsidRDefault="00615D1B">
      <w:r>
        <w:t xml:space="preserve"> </w:t>
      </w:r>
      <w:r w:rsidR="00657121">
        <w:t xml:space="preserve"> </w:t>
      </w:r>
    </w:p>
    <w:sectPr w:rsidR="00615D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F0" w:rsidRDefault="009558F0" w:rsidP="00A0679B">
      <w:pPr>
        <w:spacing w:after="0" w:line="240" w:lineRule="auto"/>
      </w:pPr>
      <w:r>
        <w:separator/>
      </w:r>
    </w:p>
  </w:endnote>
  <w:endnote w:type="continuationSeparator" w:id="0">
    <w:p w:rsidR="009558F0" w:rsidRDefault="009558F0" w:rsidP="00A0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F0" w:rsidRDefault="009558F0" w:rsidP="00A0679B">
      <w:pPr>
        <w:spacing w:after="0" w:line="240" w:lineRule="auto"/>
      </w:pPr>
      <w:r>
        <w:separator/>
      </w:r>
    </w:p>
  </w:footnote>
  <w:footnote w:type="continuationSeparator" w:id="0">
    <w:p w:rsidR="009558F0" w:rsidRDefault="009558F0" w:rsidP="00A0679B">
      <w:pPr>
        <w:spacing w:after="0" w:line="240" w:lineRule="auto"/>
      </w:pPr>
      <w:r>
        <w:continuationSeparator/>
      </w:r>
    </w:p>
  </w:footnote>
  <w:footnote w:id="1">
    <w:p w:rsidR="00A0679B" w:rsidRDefault="00A0679B">
      <w:pPr>
        <w:pStyle w:val="FootnoteText"/>
      </w:pPr>
      <w:r>
        <w:rPr>
          <w:rStyle w:val="FootnoteReference"/>
        </w:rPr>
        <w:footnoteRef/>
      </w:r>
      <w:r>
        <w:t xml:space="preserve"> </w:t>
      </w:r>
      <w:hyperlink r:id="rId1" w:history="1">
        <w:r w:rsidRPr="00473930">
          <w:rPr>
            <w:rStyle w:val="Hyperlink"/>
          </w:rPr>
          <w:t>https://incommon.org/</w:t>
        </w:r>
      </w:hyperlink>
    </w:p>
    <w:p w:rsidR="00A0679B" w:rsidRDefault="00A0679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29"/>
    <w:rsid w:val="001001D9"/>
    <w:rsid w:val="005B1C9D"/>
    <w:rsid w:val="005B66EE"/>
    <w:rsid w:val="00615D1B"/>
    <w:rsid w:val="00657121"/>
    <w:rsid w:val="007B6029"/>
    <w:rsid w:val="008E00BF"/>
    <w:rsid w:val="00937249"/>
    <w:rsid w:val="009558F0"/>
    <w:rsid w:val="009F13DF"/>
    <w:rsid w:val="00A0679B"/>
    <w:rsid w:val="00B04429"/>
    <w:rsid w:val="00C12C71"/>
    <w:rsid w:val="00C951E1"/>
    <w:rsid w:val="00ED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7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21"/>
    <w:rPr>
      <w:strike w:val="0"/>
      <w:dstrike w:val="0"/>
      <w:color w:val="0000FF"/>
      <w:u w:val="none"/>
      <w:effect w:val="none"/>
    </w:rPr>
  </w:style>
  <w:style w:type="paragraph" w:styleId="FootnoteText">
    <w:name w:val="footnote text"/>
    <w:basedOn w:val="Normal"/>
    <w:link w:val="FootnoteTextChar"/>
    <w:uiPriority w:val="99"/>
    <w:semiHidden/>
    <w:unhideWhenUsed/>
    <w:rsid w:val="00A06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79B"/>
    <w:rPr>
      <w:sz w:val="20"/>
      <w:szCs w:val="20"/>
    </w:rPr>
  </w:style>
  <w:style w:type="character" w:styleId="FootnoteReference">
    <w:name w:val="footnote reference"/>
    <w:basedOn w:val="DefaultParagraphFont"/>
    <w:uiPriority w:val="99"/>
    <w:semiHidden/>
    <w:unhideWhenUsed/>
    <w:rsid w:val="00A0679B"/>
    <w:rPr>
      <w:vertAlign w:val="superscript"/>
    </w:rPr>
  </w:style>
  <w:style w:type="table" w:styleId="TableGrid">
    <w:name w:val="Table Grid"/>
    <w:basedOn w:val="TableNormal"/>
    <w:uiPriority w:val="59"/>
    <w:rsid w:val="008E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372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37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21"/>
    <w:rPr>
      <w:strike w:val="0"/>
      <w:dstrike w:val="0"/>
      <w:color w:val="0000FF"/>
      <w:u w:val="none"/>
      <w:effect w:val="none"/>
    </w:rPr>
  </w:style>
  <w:style w:type="paragraph" w:styleId="FootnoteText">
    <w:name w:val="footnote text"/>
    <w:basedOn w:val="Normal"/>
    <w:link w:val="FootnoteTextChar"/>
    <w:uiPriority w:val="99"/>
    <w:semiHidden/>
    <w:unhideWhenUsed/>
    <w:rsid w:val="00A06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79B"/>
    <w:rPr>
      <w:sz w:val="20"/>
      <w:szCs w:val="20"/>
    </w:rPr>
  </w:style>
  <w:style w:type="character" w:styleId="FootnoteReference">
    <w:name w:val="footnote reference"/>
    <w:basedOn w:val="DefaultParagraphFont"/>
    <w:uiPriority w:val="99"/>
    <w:semiHidden/>
    <w:unhideWhenUsed/>
    <w:rsid w:val="00A0679B"/>
    <w:rPr>
      <w:vertAlign w:val="superscript"/>
    </w:rPr>
  </w:style>
  <w:style w:type="table" w:styleId="TableGrid">
    <w:name w:val="Table Grid"/>
    <w:basedOn w:val="TableNormal"/>
    <w:uiPriority w:val="59"/>
    <w:rsid w:val="008E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372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010819">
      <w:bodyDiv w:val="1"/>
      <w:marLeft w:val="0"/>
      <w:marRight w:val="0"/>
      <w:marTop w:val="0"/>
      <w:marBottom w:val="0"/>
      <w:divBdr>
        <w:top w:val="none" w:sz="0" w:space="0" w:color="auto"/>
        <w:left w:val="none" w:sz="0" w:space="0" w:color="auto"/>
        <w:bottom w:val="none" w:sz="0" w:space="0" w:color="auto"/>
        <w:right w:val="none" w:sz="0" w:space="0" w:color="auto"/>
      </w:divBdr>
      <w:divsChild>
        <w:div w:id="446317885">
          <w:marLeft w:val="0"/>
          <w:marRight w:val="0"/>
          <w:marTop w:val="0"/>
          <w:marBottom w:val="0"/>
          <w:divBdr>
            <w:top w:val="none" w:sz="0" w:space="0" w:color="auto"/>
            <w:left w:val="none" w:sz="0" w:space="0" w:color="auto"/>
            <w:bottom w:val="none" w:sz="0" w:space="0" w:color="auto"/>
            <w:right w:val="none" w:sz="0" w:space="0" w:color="auto"/>
          </w:divBdr>
          <w:divsChild>
            <w:div w:id="1260672851">
              <w:marLeft w:val="0"/>
              <w:marRight w:val="0"/>
              <w:marTop w:val="0"/>
              <w:marBottom w:val="0"/>
              <w:divBdr>
                <w:top w:val="none" w:sz="0" w:space="0" w:color="auto"/>
                <w:left w:val="none" w:sz="0" w:space="0" w:color="auto"/>
                <w:bottom w:val="none" w:sz="0" w:space="0" w:color="auto"/>
                <w:right w:val="none" w:sz="0" w:space="0" w:color="auto"/>
              </w:divBdr>
              <w:divsChild>
                <w:div w:id="1894265344">
                  <w:marLeft w:val="0"/>
                  <w:marRight w:val="0"/>
                  <w:marTop w:val="0"/>
                  <w:marBottom w:val="0"/>
                  <w:divBdr>
                    <w:top w:val="none" w:sz="0" w:space="0" w:color="auto"/>
                    <w:left w:val="none" w:sz="0" w:space="0" w:color="auto"/>
                    <w:bottom w:val="none" w:sz="0" w:space="0" w:color="auto"/>
                    <w:right w:val="none" w:sz="0" w:space="0" w:color="auto"/>
                  </w:divBdr>
                  <w:divsChild>
                    <w:div w:id="966089437">
                      <w:marLeft w:val="0"/>
                      <w:marRight w:val="0"/>
                      <w:marTop w:val="0"/>
                      <w:marBottom w:val="0"/>
                      <w:divBdr>
                        <w:top w:val="none" w:sz="0" w:space="0" w:color="auto"/>
                        <w:left w:val="none" w:sz="0" w:space="0" w:color="auto"/>
                        <w:bottom w:val="none" w:sz="0" w:space="0" w:color="auto"/>
                        <w:right w:val="none" w:sz="0" w:space="0" w:color="auto"/>
                      </w:divBdr>
                      <w:divsChild>
                        <w:div w:id="3339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mmonfederation.org/participants/&#160;" TargetMode="External"/><Relationship Id="rId13" Type="http://schemas.openxmlformats.org/officeDocument/2006/relationships/hyperlink" Target="http://www.incommon.org/assur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common.org/assur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sites/default/files/rss_viewer/NSTICstrategy_0415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decosystem.org/" TargetMode="External"/><Relationship Id="rId4" Type="http://schemas.openxmlformats.org/officeDocument/2006/relationships/settings" Target="settings.xml"/><Relationship Id="rId9" Type="http://schemas.openxmlformats.org/officeDocument/2006/relationships/hyperlink" Target="http://www.incommonfederation.org/assuran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comm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A774-C91A-4CFA-BBF9-36F3DC85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Dunker</dc:creator>
  <cp:keywords/>
  <dc:description/>
  <cp:lastModifiedBy>Mary Dunker</cp:lastModifiedBy>
  <cp:revision>10</cp:revision>
  <dcterms:created xsi:type="dcterms:W3CDTF">2014-01-02T15:55:00Z</dcterms:created>
  <dcterms:modified xsi:type="dcterms:W3CDTF">2014-01-03T14:27:00Z</dcterms:modified>
</cp:coreProperties>
</file>